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Pr="000278EC" w:rsidRDefault="00BF5065">
      <w:pPr>
        <w:rPr>
          <w:rFonts w:eastAsia="TimesNewRomanPSMT" w:cs="TimesNewRomanPSMT"/>
          <w:sz w:val="21"/>
          <w:szCs w:val="21"/>
          <w:shd w:val="clear" w:color="auto" w:fill="FFFF00"/>
          <w:lang w:val="pl-PL"/>
        </w:rPr>
      </w:pPr>
      <w:r w:rsidRPr="000278EC">
        <w:rPr>
          <w:rFonts w:eastAsia="TimesNewRomanPSMT" w:cs="TimesNewRomanPSMT"/>
          <w:b/>
          <w:bCs/>
          <w:sz w:val="21"/>
          <w:szCs w:val="21"/>
          <w:shd w:val="clear" w:color="auto" w:fill="FFFF00"/>
          <w:lang w:val="pl-PL"/>
        </w:rPr>
        <w:t xml:space="preserve">Imię i nazwisko, grupa </w:t>
      </w:r>
      <w:r w:rsidRPr="000278EC">
        <w:rPr>
          <w:rFonts w:eastAsia="TimesNewRomanPSMT" w:cs="TimesNewRomanPSMT"/>
          <w:sz w:val="21"/>
          <w:szCs w:val="21"/>
          <w:shd w:val="clear" w:color="auto" w:fill="FFFF00"/>
          <w:lang w:val="pl-PL"/>
        </w:rPr>
        <w:t xml:space="preserve">— wyrównanie do lewej,  Times New Roman 12,  interwał 1, pogrubienie </w:t>
      </w:r>
    </w:p>
    <w:p w:rsidR="00000000" w:rsidRPr="000278EC" w:rsidRDefault="00BF5065">
      <w:pPr>
        <w:autoSpaceDE w:val="0"/>
        <w:rPr>
          <w:rFonts w:eastAsia="TimesNewRomanPSMT" w:cs="TimesNewRomanPSMT"/>
          <w:sz w:val="21"/>
          <w:szCs w:val="21"/>
          <w:shd w:val="clear" w:color="auto" w:fill="FFFF00"/>
          <w:lang w:val="pl-PL"/>
        </w:rPr>
      </w:pPr>
    </w:p>
    <w:p w:rsidR="00000000" w:rsidRPr="000278EC" w:rsidRDefault="00BF5065">
      <w:pPr>
        <w:autoSpaceDE w:val="0"/>
        <w:rPr>
          <w:rFonts w:eastAsia="TimesNewRomanPSMT" w:cs="TimesNewRomanPSMT"/>
          <w:sz w:val="21"/>
          <w:szCs w:val="21"/>
          <w:shd w:val="clear" w:color="auto" w:fill="FFFF00"/>
          <w:lang w:val="pl-PL"/>
        </w:rPr>
      </w:pPr>
      <w:r w:rsidRPr="000278EC">
        <w:rPr>
          <w:rFonts w:eastAsia="TimesNewRomanPSMT" w:cs="TimesNewRomanPSMT"/>
          <w:b/>
          <w:bCs/>
          <w:sz w:val="21"/>
          <w:szCs w:val="21"/>
          <w:shd w:val="clear" w:color="auto" w:fill="FFFF00"/>
          <w:lang w:val="pl-PL"/>
        </w:rPr>
        <w:t>Ustawienie tekstu</w:t>
      </w:r>
      <w:r w:rsidRPr="000278EC">
        <w:rPr>
          <w:rFonts w:eastAsia="TimesNewRomanPSMT" w:cs="TimesNewRomanPSMT"/>
          <w:sz w:val="21"/>
          <w:szCs w:val="21"/>
          <w:shd w:val="clear" w:color="auto" w:fill="FFFF00"/>
          <w:lang w:val="pl-PL"/>
        </w:rPr>
        <w:t xml:space="preserve"> </w:t>
      </w:r>
    </w:p>
    <w:p w:rsidR="00000000" w:rsidRPr="000278EC" w:rsidRDefault="00BF5065">
      <w:pPr>
        <w:autoSpaceDE w:val="0"/>
        <w:rPr>
          <w:rFonts w:eastAsia="TimesNewRomanPSMT" w:cs="TimesNewRomanPSMT"/>
          <w:sz w:val="21"/>
          <w:szCs w:val="21"/>
          <w:shd w:val="clear" w:color="auto" w:fill="FFFF00"/>
          <w:lang w:val="pl-PL"/>
        </w:rPr>
      </w:pPr>
      <w:r w:rsidRPr="000278EC">
        <w:rPr>
          <w:rFonts w:eastAsia="TimesNewRomanPSMT" w:cs="TimesNewRomanPSMT"/>
          <w:sz w:val="21"/>
          <w:szCs w:val="21"/>
          <w:shd w:val="clear" w:color="auto" w:fill="FFFF00"/>
          <w:lang w:val="pl-PL"/>
        </w:rPr>
        <w:t>Marginesy ― lewy, 3,5 cm, prawy, 2 cm, góra - 2 cm, dół - 2 cm.</w:t>
      </w:r>
    </w:p>
    <w:p w:rsidR="00000000" w:rsidRPr="000278EC" w:rsidRDefault="00BF5065">
      <w:pPr>
        <w:autoSpaceDE w:val="0"/>
        <w:rPr>
          <w:rFonts w:eastAsia="TimesNewRomanPSMT" w:cs="TimesNewRomanPSMT"/>
          <w:sz w:val="21"/>
          <w:szCs w:val="21"/>
          <w:shd w:val="clear" w:color="auto" w:fill="FFFF00"/>
          <w:lang w:val="pl-PL"/>
        </w:rPr>
      </w:pPr>
      <w:r w:rsidRPr="000278EC">
        <w:rPr>
          <w:rFonts w:eastAsia="TimesNewRomanPSMT" w:cs="TimesNewRomanPSMT"/>
          <w:sz w:val="21"/>
          <w:szCs w:val="21"/>
          <w:shd w:val="clear" w:color="auto" w:fill="FFFF00"/>
          <w:lang w:val="pl-PL"/>
        </w:rPr>
        <w:t>Tytuł Times New Roman ― 14 pkt. wyjustowany (do obu marginesów jednocześnie)</w:t>
      </w:r>
    </w:p>
    <w:p w:rsidR="00000000" w:rsidRPr="000278EC" w:rsidRDefault="00BF5065">
      <w:pPr>
        <w:autoSpaceDE w:val="0"/>
        <w:rPr>
          <w:rFonts w:eastAsia="TimesNewRomanPSMT" w:cs="TimesNewRomanPSMT"/>
          <w:sz w:val="21"/>
          <w:szCs w:val="21"/>
          <w:shd w:val="clear" w:color="auto" w:fill="FFFF00"/>
          <w:lang w:val="en-US"/>
        </w:rPr>
      </w:pPr>
      <w:r w:rsidRPr="000278EC">
        <w:rPr>
          <w:rFonts w:eastAsia="TimesNewRomanPSMT" w:cs="TimesNewRomanPSMT"/>
          <w:sz w:val="21"/>
          <w:szCs w:val="21"/>
          <w:shd w:val="clear" w:color="auto" w:fill="FFFF00"/>
          <w:lang w:val="en-US"/>
        </w:rPr>
        <w:t>Te</w:t>
      </w:r>
      <w:r w:rsidRPr="000278EC">
        <w:rPr>
          <w:rFonts w:eastAsia="TimesNewRomanPSMT" w:cs="TimesNewRomanPSMT"/>
          <w:sz w:val="21"/>
          <w:szCs w:val="21"/>
          <w:shd w:val="clear" w:color="auto" w:fill="FFFF00"/>
          <w:lang w:val="en-US"/>
        </w:rPr>
        <w:t>kst - Czcionka Times New Roman 12 pkt, interwał 1,5</w:t>
      </w:r>
    </w:p>
    <w:p w:rsidR="00000000" w:rsidRPr="000278EC" w:rsidRDefault="00BF5065">
      <w:pPr>
        <w:autoSpaceDE w:val="0"/>
        <w:jc w:val="left"/>
        <w:rPr>
          <w:rFonts w:eastAsia="TimesNewRomanPSMT" w:cs="TimesNewRomanPSMT"/>
          <w:sz w:val="21"/>
          <w:szCs w:val="21"/>
          <w:shd w:val="clear" w:color="auto" w:fill="FFFF00"/>
          <w:lang w:val="pl-PL"/>
        </w:rPr>
      </w:pPr>
      <w:r w:rsidRPr="000278EC">
        <w:rPr>
          <w:rFonts w:eastAsia="TimesNewRomanPSMT" w:cs="TimesNewRomanPSMT"/>
          <w:sz w:val="21"/>
          <w:szCs w:val="21"/>
          <w:shd w:val="clear" w:color="auto" w:fill="FFFF00"/>
          <w:lang w:val="pl-PL"/>
        </w:rPr>
        <w:t>Ustawienie akapitów na całym tekście AUTOMATYCZNE</w:t>
      </w:r>
    </w:p>
    <w:p w:rsidR="00000000" w:rsidRDefault="00BF5065">
      <w:pPr>
        <w:autoSpaceDE w:val="0"/>
        <w:jc w:val="left"/>
        <w:rPr>
          <w:rFonts w:eastAsia="TimesNewRomanPSMT" w:cs="TimesNewRomanPSMT"/>
          <w:sz w:val="21"/>
          <w:szCs w:val="21"/>
          <w:shd w:val="clear" w:color="auto" w:fill="FFFF00"/>
        </w:rPr>
      </w:pPr>
      <w:r>
        <w:rPr>
          <w:rFonts w:eastAsia="TimesNewRomanPSMT" w:cs="TimesNewRomanPSMT"/>
          <w:sz w:val="21"/>
          <w:szCs w:val="21"/>
          <w:shd w:val="clear" w:color="auto" w:fill="FFFF00"/>
        </w:rPr>
        <w:t>DLA WORDA: Proszę nie używać spacji ani klawisza tabulator! Należy zaznaczyć cały tekst  CTRL + A, na zaznaczonym tekście wcisnąć prawy klawisz myszy, otw</w:t>
      </w:r>
      <w:r>
        <w:rPr>
          <w:rFonts w:eastAsia="TimesNewRomanPSMT" w:cs="TimesNewRomanPSMT"/>
          <w:sz w:val="21"/>
          <w:szCs w:val="21"/>
          <w:shd w:val="clear" w:color="auto" w:fill="FFFF00"/>
        </w:rPr>
        <w:t xml:space="preserve">orzy się menu pomocnicze, z tego menu wybieramy Akapit. Dalej ustawienia patrz link - </w:t>
      </w:r>
      <w:hyperlink r:id="rId4" w:history="1">
        <w:r>
          <w:rPr>
            <w:rStyle w:val="a6"/>
            <w:rFonts w:eastAsia="TimesNewRomanPSMT" w:cs="TimesNewRomanPSMT"/>
            <w:sz w:val="21"/>
            <w:szCs w:val="21"/>
            <w:shd w:val="clear" w:color="auto" w:fill="FFFF00"/>
          </w:rPr>
          <w:t>https://www.centrumxp.pl/api</w:t>
        </w:r>
        <w:r>
          <w:rPr>
            <w:rStyle w:val="a6"/>
            <w:rFonts w:eastAsia="TimesNewRomanPSMT" w:cs="TimesNewRomanPSMT"/>
            <w:sz w:val="21"/>
            <w:szCs w:val="21"/>
            <w:shd w:val="clear" w:color="auto" w:fill="FFFF00"/>
          </w:rPr>
          <w:t>/Images/GetOldImage?pathImage=/Img/art/Office2016/Word2016/Jak%20zrobić%20akapit/akapit_ustawienie.png</w:t>
        </w:r>
      </w:hyperlink>
      <w:r>
        <w:rPr>
          <w:rFonts w:eastAsia="TimesNewRomanPSMT" w:cs="TimesNewRomanPSMT"/>
          <w:sz w:val="21"/>
          <w:szCs w:val="21"/>
          <w:shd w:val="clear" w:color="auto" w:fill="FFFF00"/>
        </w:rPr>
        <w:t xml:space="preserve"> </w:t>
      </w:r>
    </w:p>
    <w:p w:rsidR="00000000" w:rsidRDefault="00BF5065">
      <w:pPr>
        <w:autoSpaceDE w:val="0"/>
        <w:jc w:val="left"/>
        <w:rPr>
          <w:rFonts w:eastAsia="TimesNewRomanPSMT" w:cs="TimesNewRomanPSMT"/>
          <w:sz w:val="21"/>
          <w:szCs w:val="21"/>
          <w:shd w:val="clear" w:color="auto" w:fill="FFFF00"/>
        </w:rPr>
      </w:pPr>
      <w:r>
        <w:rPr>
          <w:rFonts w:eastAsia="TimesNewRomanPSMT" w:cs="TimesNewRomanPSMT"/>
          <w:sz w:val="21"/>
          <w:szCs w:val="21"/>
          <w:shd w:val="clear" w:color="auto" w:fill="FFFF00"/>
        </w:rPr>
        <w:t>OPEN OFFICE: Należy zaznaczyć cały tekst  CTRL + A, na zaznaczonym tekście wcisnąć prawy klawisz myszy, otworzy się menu pomocnicze, z tego menu wybier</w:t>
      </w:r>
      <w:r>
        <w:rPr>
          <w:rFonts w:eastAsia="TimesNewRomanPSMT" w:cs="TimesNewRomanPSMT"/>
          <w:sz w:val="21"/>
          <w:szCs w:val="21"/>
          <w:shd w:val="clear" w:color="auto" w:fill="FFFF00"/>
        </w:rPr>
        <w:t>amy Akapit. Wybieramy opcję Wcięcia — Specjalne — pierwszy wiersz — 1,2 cm.</w:t>
      </w:r>
    </w:p>
    <w:p w:rsidR="00000000" w:rsidRDefault="00BF5065">
      <w:pPr>
        <w:autoSpaceDE w:val="0"/>
        <w:rPr>
          <w:rFonts w:eastAsia="TimesNewRomanPSMT" w:cs="TimesNewRomanPSMT"/>
          <w:sz w:val="21"/>
          <w:szCs w:val="21"/>
          <w:shd w:val="clear" w:color="auto" w:fill="FFFF00"/>
        </w:rPr>
      </w:pPr>
      <w:r>
        <w:rPr>
          <w:rFonts w:eastAsia="TimesNewRomanPSMT" w:cs="TimesNewRomanPSMT"/>
          <w:sz w:val="21"/>
          <w:szCs w:val="21"/>
          <w:shd w:val="clear" w:color="auto" w:fill="FFFF00"/>
        </w:rPr>
        <w:t xml:space="preserve">Słowo Пушкин — podkreślone (oprócz bibliografii) — skorzystaj z opcji wyszukiwania słów w tekście. Zaznacz słowo Пушкин i wcisnij kombinację klawiszy CTRL + F. </w:t>
      </w:r>
    </w:p>
    <w:p w:rsidR="00000000" w:rsidRDefault="00BF5065">
      <w:pPr>
        <w:autoSpaceDE w:val="0"/>
        <w:rPr>
          <w:rFonts w:eastAsia="TimesNewRomanPSMT" w:cs="TimesNewRomanPSMT"/>
          <w:sz w:val="21"/>
          <w:szCs w:val="21"/>
          <w:shd w:val="clear" w:color="auto" w:fill="FFFF00"/>
        </w:rPr>
      </w:pPr>
      <w:r>
        <w:rPr>
          <w:rFonts w:eastAsia="TimesNewRomanPSMT" w:cs="TimesNewRomanPSMT"/>
          <w:sz w:val="21"/>
          <w:szCs w:val="21"/>
          <w:shd w:val="clear" w:color="auto" w:fill="FFFF00"/>
        </w:rPr>
        <w:t>Zaznacz przykład wi</w:t>
      </w:r>
      <w:r>
        <w:rPr>
          <w:rFonts w:eastAsia="TimesNewRomanPSMT" w:cs="TimesNewRomanPSMT"/>
          <w:sz w:val="21"/>
          <w:szCs w:val="21"/>
          <w:shd w:val="clear" w:color="auto" w:fill="FFFF00"/>
        </w:rPr>
        <w:t>ersza kursywą —</w:t>
      </w:r>
      <w:r>
        <w:rPr>
          <w:rFonts w:eastAsia="TimesNewRomanPSMT" w:cs="TimesNewRomanPSMT"/>
          <w:sz w:val="21"/>
          <w:szCs w:val="21"/>
          <w:shd w:val="clear" w:color="auto" w:fill="FFFF00"/>
        </w:rPr>
        <w:t xml:space="preserve"> CTRL + I</w:t>
      </w:r>
    </w:p>
    <w:p w:rsidR="00000000" w:rsidRDefault="00BF5065">
      <w:pPr>
        <w:autoSpaceDE w:val="0"/>
        <w:rPr>
          <w:rFonts w:eastAsia="TimesNewRomanPSMT" w:cs="TimesNewRomanPSMT"/>
          <w:sz w:val="21"/>
          <w:szCs w:val="21"/>
          <w:shd w:val="clear" w:color="auto" w:fill="FFFF00"/>
        </w:rPr>
      </w:pPr>
      <w:r>
        <w:rPr>
          <w:rFonts w:eastAsia="TimesNewRomanPSMT" w:cs="TimesNewRomanPSMT"/>
          <w:sz w:val="21"/>
          <w:szCs w:val="21"/>
          <w:shd w:val="clear" w:color="auto" w:fill="FFFF00"/>
        </w:rPr>
        <w:t xml:space="preserve">Literatura ― wg alfabetu rosyjskiego,  Czcionka Times New Roman 12 pkt interwał 1. nagłówek ЛИТЕРАТУРА pogrubiony CTRL + B i podkreślony </w:t>
      </w:r>
      <w:r>
        <w:rPr>
          <w:rFonts w:eastAsia="TimesNewRomanPSMT" w:cs="TimesNewRomanPSMT"/>
          <w:sz w:val="21"/>
          <w:szCs w:val="21"/>
          <w:shd w:val="clear" w:color="auto" w:fill="FFFF00"/>
        </w:rPr>
        <w:t>CTRL + U</w:t>
      </w:r>
      <w:r>
        <w:rPr>
          <w:rFonts w:eastAsia="TimesNewRomanPSMT" w:cs="TimesNewRomanPSMT"/>
          <w:sz w:val="21"/>
          <w:szCs w:val="21"/>
          <w:shd w:val="clear" w:color="auto" w:fill="FFFF00"/>
        </w:rPr>
        <w:t>.</w:t>
      </w:r>
    </w:p>
    <w:p w:rsidR="00000000" w:rsidRDefault="00BF5065">
      <w:pPr>
        <w:autoSpaceDE w:val="0"/>
        <w:rPr>
          <w:sz w:val="21"/>
          <w:szCs w:val="21"/>
        </w:rPr>
      </w:pPr>
      <w:r>
        <w:rPr>
          <w:rFonts w:eastAsia="TimesNewRomanPSMT" w:cs="TimesNewRomanPSMT"/>
          <w:sz w:val="21"/>
          <w:szCs w:val="21"/>
          <w:shd w:val="clear" w:color="auto" w:fill="FFFF00"/>
        </w:rPr>
        <w:t>Przypisy wewnątrztekstowe - zamiana kwadratowych nawiasów na okrągłe — zrób to autom</w:t>
      </w:r>
      <w:r>
        <w:rPr>
          <w:rFonts w:eastAsia="TimesNewRomanPSMT" w:cs="TimesNewRomanPSMT"/>
          <w:sz w:val="21"/>
          <w:szCs w:val="21"/>
          <w:shd w:val="clear" w:color="auto" w:fill="FFFF00"/>
        </w:rPr>
        <w:t>atycznie korzystając z opcji kombinacji klawiszy CTRL + F — 'zamień wszystko' .</w:t>
      </w:r>
    </w:p>
    <w:p w:rsidR="00000000" w:rsidRDefault="00BF5065">
      <w:pPr>
        <w:autoSpaceDE w:val="0"/>
        <w:rPr>
          <w:sz w:val="21"/>
          <w:szCs w:val="21"/>
        </w:rPr>
      </w:pPr>
    </w:p>
    <w:p w:rsidR="00000000" w:rsidRDefault="00BF5065">
      <w:pPr>
        <w:autoSpaceDE w:val="0"/>
        <w:rPr>
          <w:rFonts w:eastAsia="TimesNewRomanPSMT" w:cs="TimesNewRomanPSMT"/>
          <w:sz w:val="21"/>
          <w:szCs w:val="21"/>
        </w:rPr>
      </w:pPr>
      <w:r>
        <w:rPr>
          <w:rFonts w:eastAsia="TimesNewRomanPSMT" w:cs="TimesNewRomanPSMT"/>
          <w:color w:val="800000"/>
          <w:sz w:val="21"/>
          <w:szCs w:val="21"/>
        </w:rPr>
        <w:t>Po edycji tekstu proszę usunąć wskazówki, zamieszczone powyżej.</w:t>
      </w:r>
    </w:p>
    <w:p w:rsidR="00000000" w:rsidRDefault="00BF5065">
      <w:pPr>
        <w:autoSpaceDE w:val="0"/>
        <w:rPr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>________________________</w:t>
      </w:r>
    </w:p>
    <w:p w:rsidR="00000000" w:rsidRDefault="00BF5065">
      <w:pPr>
        <w:autoSpaceDE w:val="0"/>
        <w:rPr>
          <w:sz w:val="21"/>
          <w:szCs w:val="21"/>
        </w:rPr>
      </w:pP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Библия и Коран в поэтическом цикле  А.С. Пушкина “Подражания Корану”</w:t>
      </w:r>
    </w:p>
    <w:p w:rsidR="00000000" w:rsidRDefault="00BF5065">
      <w:pPr>
        <w:jc w:val="left"/>
        <w:rPr>
          <w:sz w:val="21"/>
          <w:szCs w:val="21"/>
        </w:rPr>
      </w:pP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За  последние г</w:t>
      </w:r>
      <w:r>
        <w:rPr>
          <w:sz w:val="21"/>
          <w:szCs w:val="21"/>
        </w:rPr>
        <w:t xml:space="preserve">оды заметно усилился вполне понятный интерес к “Подражаниям Корану”. В свете волнующих современный мир проблем межэтнических и межконфессиональных отношений, этнокультурных связей пушкинская трактовка избранных поэтом сур Корана обретает особое значение. 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Предпосылка к созданию “Подражаний Корану” раскрыта Пушкиным в первом примечании цикла: “Многие нравственные истины изложены в Коране сильным и поэтическим образом”. В этом же примечании обозначен характер соотношения цикла и его великого источника: “Здесь</w:t>
      </w:r>
      <w:r>
        <w:rPr>
          <w:sz w:val="21"/>
          <w:szCs w:val="21"/>
        </w:rPr>
        <w:t xml:space="preserve"> предлагается несколько вольных подражаний”. Так просто и лаконично сказано о первом в русской литературе поэтическом переложении грандиозного памятника мусульманской религии и культуры. 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Ответ на вопрос, какие заповеди древнего религиозного памятника Пушк</w:t>
      </w:r>
      <w:r>
        <w:rPr>
          <w:sz w:val="21"/>
          <w:szCs w:val="21"/>
        </w:rPr>
        <w:t>ин выбирает для поэтической переработки, определяет соотношение цикла и его вечного источника. По подсчётам исследователей Пушкин воспользовался не менее чем 81 стихом из 33 различных сур. Вместе с тем, очевидно, что поэт не стремился как можно точнее пере</w:t>
      </w:r>
      <w:r>
        <w:rPr>
          <w:sz w:val="21"/>
          <w:szCs w:val="21"/>
        </w:rPr>
        <w:t xml:space="preserve">вести каждую суру. Пушкин не просто переводит  заповеди, а перерабатывает их. “Нравственные истины” доходят до читателя в том виде, который сообщает им поэт. Интерпретируя заповеди Ислама, Пушкин создаёт “свой Коран”: объединяет в новое целое разрозненные </w:t>
      </w:r>
      <w:r>
        <w:rPr>
          <w:sz w:val="21"/>
          <w:szCs w:val="21"/>
        </w:rPr>
        <w:t xml:space="preserve">мотивы Корана, расширяет и дополняет ту или иную мысль избранных сур. “Нравственные истины” доходят до читателя в том звучании, которое сообщает им поэт. В стройной системе цикла воплощена личная Вселенная художника. 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Иерусалимский ученый С.Шварцбанд отмеч</w:t>
      </w:r>
      <w:r>
        <w:rPr>
          <w:sz w:val="21"/>
          <w:szCs w:val="21"/>
        </w:rPr>
        <w:t>ает как важную особенность пушкинского цикла – принцип “двойного говорения”. В “вольных” подражаниях звучит не только речь Бога, но и его пророка, причем «“говорение” воспринимается не только магометовским, но и собственно авторским» [Шварцбанд С., 2000, с</w:t>
      </w:r>
      <w:r>
        <w:rPr>
          <w:sz w:val="21"/>
          <w:szCs w:val="21"/>
        </w:rPr>
        <w:t xml:space="preserve">. 19-22]. Автобиографический подтекст образа пророка был понятен еще первым читателям цикла. Для Пушкина бесспорна божественная природа вдохновения: поэт, так же как пророк, наделен высшим знанием и способностью воплощать его в слове, а потому должен быть </w:t>
      </w:r>
      <w:r>
        <w:rPr>
          <w:sz w:val="21"/>
          <w:szCs w:val="21"/>
        </w:rPr>
        <w:t xml:space="preserve">проповедником и защитником высоких нравственных истин. 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sz w:val="21"/>
          <w:szCs w:val="21"/>
        </w:rPr>
        <w:t>Я тружусь во славу Корана”,– сообщает Пушкин брату Льву Сергеевичу в начале ноября 1824 года. В письме же к Вяземскому от 29 ноября того же года он пишет о судьбе рукописи своих стихотворений, оставш</w:t>
      </w:r>
      <w:r>
        <w:rPr>
          <w:sz w:val="21"/>
          <w:szCs w:val="21"/>
        </w:rPr>
        <w:t>ейся с 1820 года в руках Н. Всеволжского: “Между тем принужден был бежать из Мекки в Медину, мой Коран пошел по рукам – и доныне правоверные ожидают его”. Бегство из Мекки в Медину – переезд из Одессы в Михайловское, “мой Коран” – рукопись сборника стихотв</w:t>
      </w:r>
      <w:r>
        <w:rPr>
          <w:sz w:val="21"/>
          <w:szCs w:val="21"/>
        </w:rPr>
        <w:t xml:space="preserve">орений Пушкина. В переписке раскрыт главный автобиографический мотив цикла – сближение собственной судьбы с судьбой изгнанника-Магомета. Личное и вечное в “Подражаниях Корану” взаимосвязаны. 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В “Подражаниях” звучит не только Коран, но и Библия, которой, ка</w:t>
      </w:r>
      <w:r>
        <w:rPr>
          <w:sz w:val="21"/>
          <w:szCs w:val="21"/>
        </w:rPr>
        <w:t>к известно, пользовался Пушкин, работая над циклом. Аргументы на этот счет приводил еще Г.А.Гуковский. Перечисляя источники “восточного стиля” в поэтике романтизма, Гуковский называет образцом восточной народной героики, поэзии восточного народа, Библию, и</w:t>
      </w:r>
      <w:r>
        <w:rPr>
          <w:sz w:val="21"/>
          <w:szCs w:val="21"/>
        </w:rPr>
        <w:t>звестную русскому читателю в церковнославянском тексте. Трактовка Библии, как памятника литературы Востока дана и в авторском учебнике Гуковского 1939 года “Русская литература XVIII века”. В монографии “Пушкин и русские романтики” [Саратов, 1946] Коран и Б</w:t>
      </w:r>
      <w:r>
        <w:rPr>
          <w:sz w:val="21"/>
          <w:szCs w:val="21"/>
        </w:rPr>
        <w:t>иблию ученый характеризует как “памятники культуры, быта, понятий и поэзии Востока”, которые Пушкин воспринимает “как проявление единой восточной культуры”. О плодотворности этой мысли Гуковского свидетельствует и обширная исследовательская литература, выш</w:t>
      </w:r>
      <w:r>
        <w:rPr>
          <w:sz w:val="21"/>
          <w:szCs w:val="21"/>
        </w:rPr>
        <w:t xml:space="preserve">едшая к юбилею Пушкина, и ставшая большим событием в пушкиноведении коллективная монография “Коран и Библия в творчестве Пушкина” [Иерусалим, 2000.]. 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Восхищаясь “смелой поэзией” Корана, Пушкин не прибегает к внешним приемам ориентализма. На источник “Подр</w:t>
      </w:r>
      <w:r>
        <w:rPr>
          <w:sz w:val="21"/>
          <w:szCs w:val="21"/>
        </w:rPr>
        <w:t xml:space="preserve">ажаний” указывает “присутствие” в стихотворном тексте цикла Магомета и Корана. Аллах назван в примечаниях, в стихотворениях же именуется нейтрально: “бог”, “всесильный”, “владыка небес и земли”, “Господь”. Элементы </w:t>
      </w:r>
      <w:r>
        <w:rPr>
          <w:sz w:val="21"/>
          <w:szCs w:val="21"/>
        </w:rPr>
        <w:lastRenderedPageBreak/>
        <w:t>библейского стиля в “Подражаниях Корану”,</w:t>
      </w:r>
      <w:r>
        <w:rPr>
          <w:sz w:val="21"/>
          <w:szCs w:val="21"/>
        </w:rPr>
        <w:t xml:space="preserve"> находятся в соответствии с религиозным памятником мусульманства, многосоставность которого не раз отмечалась учеными-исламоведами. Если учесть еще территориальную близость арабского и еврейского народов, “общность природы, климата и культуры”, закономерно</w:t>
      </w:r>
      <w:r>
        <w:rPr>
          <w:sz w:val="21"/>
          <w:szCs w:val="21"/>
        </w:rPr>
        <w:t xml:space="preserve">сть подобного сближения станет очевидной. Кроме того, используя язык и образы Библии для передачи духа и стиля Корана, отказавшись от характерных для “ориентальных” стихов европейских поэтов сугубо коранических терминов, Пушкин стремится подчеркнуть черты </w:t>
      </w:r>
      <w:r>
        <w:rPr>
          <w:sz w:val="21"/>
          <w:szCs w:val="21"/>
        </w:rPr>
        <w:t xml:space="preserve">общности культур, проявление в национальном общечеловеческого. 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Мир Корана в “Подражаниях” целостен и строго организован. Могущество и благость Творца, воспетое в священных текстах – центральная тема “Подражаний Корану”. Земля и небо, вода и воздух, жизнь </w:t>
      </w:r>
      <w:r>
        <w:rPr>
          <w:sz w:val="21"/>
          <w:szCs w:val="21"/>
        </w:rPr>
        <w:t>и смерть, богатство и бедность, счастье и отчаяние – всё подвластно воле Создателя. Всё, что дает жизненные силы, создано по промыслу Всевышнего: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Он правит ветром; в знойный день 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На небо насылает тучи;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Даёт земле древесну сень.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Благодеяния Творца безграни</w:t>
      </w:r>
      <w:r>
        <w:rPr>
          <w:sz w:val="21"/>
          <w:szCs w:val="21"/>
        </w:rPr>
        <w:t>чны, создав жизнь, он вдохнул в неё душу, ниспослав человечеству свод великих нравственных истин: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Он милосерд: он Магомету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Открыл сияющий Коран,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Да притечем и мы ко свету,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И да падет с очей туман.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Свет веры озаряет внутренний мир человека так же, как солнц</w:t>
      </w:r>
      <w:r>
        <w:rPr>
          <w:sz w:val="21"/>
          <w:szCs w:val="21"/>
        </w:rPr>
        <w:t>е. Божественные откровения просветят и укрепят каждого, кто “притечет” к сияющему источнику извечной мудрости.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Милосердный Творец, заботясь о слабых, духовно незрячих, посылает пророка с заветом: “…мой Коран / дрожащей твари проповедуй”.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Божественным промы</w:t>
      </w:r>
      <w:r>
        <w:rPr>
          <w:sz w:val="21"/>
          <w:szCs w:val="21"/>
        </w:rPr>
        <w:t xml:space="preserve">слом озарены все сферы земного бытия. Господь дал человеку “плоды, / И хлеб, и финик, и оливу, / Благословив его труды / И вертоград, и холм, и ниву”. Но в конце жизненного пути каждому воздастся по справедливости “И нечестивые падут, / Покрыты пламенем и </w:t>
      </w:r>
      <w:r>
        <w:rPr>
          <w:sz w:val="21"/>
          <w:szCs w:val="21"/>
        </w:rPr>
        <w:t>прахом ”.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Обрести спасение можно, соблюдая нравственные заповеди, предписанные Создателем: “Мужайся ж, презирай обман, / Стезею правды бодро следуй”, “Люби сирот”, “Живите скромно”, “Храните верные сердца, / Для нег законных и стыдливых”, “Не сыпь своих да</w:t>
      </w:r>
      <w:r>
        <w:rPr>
          <w:sz w:val="21"/>
          <w:szCs w:val="21"/>
        </w:rPr>
        <w:t>ров расчетливой рукою: / Щедрота полная угодна небесам”.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В “Подражаниях Корану” Аллах предстает как милостивый создатель и суровый судия, как законодатель жизненного уклада мусульман, источник бесценных даров человечеству. В первом “Подражании” с этой темо</w:t>
      </w:r>
      <w:r>
        <w:rPr>
          <w:sz w:val="21"/>
          <w:szCs w:val="21"/>
        </w:rPr>
        <w:t xml:space="preserve">й связана заветная пушкинская мысль о божественной природе вдохновения: “Не я ль язык твой одарил / Могучей властью над умами? ” – вопрошает Всевышний своего возроптавшего пророка. 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Упование на Господа спасает от мирских печалей и тревог. “Сердечная молитв</w:t>
      </w:r>
      <w:r>
        <w:rPr>
          <w:sz w:val="21"/>
          <w:szCs w:val="21"/>
        </w:rPr>
        <w:t>а” очищает душу и сознание. Утверждение очищающей, возрождающей силы молитвенного предстояния – пафос седьмого “Подражания”. Сюжет заимствован из Корана: изгнанник-Магомет скрывается в пещере на горе Тор. Пророком в его вынужденном уединении овладели сомне</w:t>
      </w:r>
      <w:r>
        <w:rPr>
          <w:sz w:val="21"/>
          <w:szCs w:val="21"/>
        </w:rPr>
        <w:t>ния и страх, но незримый утешитель взывает к нему: “Восстань, боязливый”. Это обращение основано на тексте 72-й суры Корана “Робкий”. Пушкин не даёт ссылки на источник, что расширяет символический смысл стихотворения. “Боязливым” – может быть не только про</w:t>
      </w:r>
      <w:r>
        <w:rPr>
          <w:sz w:val="21"/>
          <w:szCs w:val="21"/>
        </w:rPr>
        <w:t>рок, но любой человек, утративший точку опоры под натиском сложных жизненных обстоятельств. Вещий голос призывает павшего духом “сердечной молитвой” “удалить” “Печальные мысли, / Лукавые сны!” Тот же совет даёт Пимен Григорию в “Борисе Годунове”: “Смиряй с</w:t>
      </w:r>
      <w:r>
        <w:rPr>
          <w:sz w:val="21"/>
          <w:szCs w:val="21"/>
        </w:rPr>
        <w:t xml:space="preserve">ебя молитвой и постом, / И сны твои видений лёгких будут / Исполнены”. На наш взгляд, очевидна параллель между </w:t>
      </w:r>
      <w:r>
        <w:rPr>
          <w:sz w:val="21"/>
          <w:szCs w:val="21"/>
          <w:lang w:val="en-US"/>
        </w:rPr>
        <w:t>VII</w:t>
      </w:r>
      <w:r>
        <w:rPr>
          <w:sz w:val="21"/>
          <w:szCs w:val="21"/>
        </w:rPr>
        <w:t xml:space="preserve">  “Подражанием” и сценой “Ночь. Келья в Чудовом монастыре”. Так же, как пещеру исламского пророка, свет лампады озаряет келью летописца Пимена</w:t>
      </w:r>
      <w:r>
        <w:rPr>
          <w:sz w:val="21"/>
          <w:szCs w:val="21"/>
        </w:rPr>
        <w:t xml:space="preserve">. 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Неоспоримое могущество Бога, управляющего всем ходом вещей, утверждается в четвертом стихотворении цикла. Возможно, это самый краткий богоборческий сюжет во всей мировой литературе. Индивидуалистический бунт “могучего” против всесильного могущества Бога</w:t>
      </w:r>
      <w:r>
        <w:rPr>
          <w:sz w:val="21"/>
          <w:szCs w:val="21"/>
        </w:rPr>
        <w:t xml:space="preserve"> подавлен мгновенно и абсолютно: “Но смолкла похвальба порока / От слова гнева твоего: / Подъемлю солнце я с востока; / С заката подыми его!” Человек не в силах отменить извечный ход вещей. Божественный миропорядок существует объективно: солнце действитель</w:t>
      </w:r>
      <w:r>
        <w:rPr>
          <w:sz w:val="21"/>
          <w:szCs w:val="21"/>
        </w:rPr>
        <w:t xml:space="preserve">но восходит “с востока”. Разрешение религиозно-этического конфликта становится откровением о мироздании в целом. Объективная детерминированность Бытия утверждается как незыблемый закон. 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Величие и разумная непреложность божественной воли – лейтмотив всех д</w:t>
      </w:r>
      <w:r>
        <w:rPr>
          <w:sz w:val="21"/>
          <w:szCs w:val="21"/>
        </w:rPr>
        <w:t>евяти стихотворений. Призывное “Творцу молитесь” звучит как рефрен всего цикла. Креационные мифологические представления о Боге, основанные на идее творения, отражены в “Подражаниях” как свидетельство милосердия Создателя, его благоволения к людям. Атрибут</w:t>
      </w:r>
      <w:r>
        <w:rPr>
          <w:sz w:val="21"/>
          <w:szCs w:val="21"/>
        </w:rPr>
        <w:t>ом Творца в поэтическом контексте выступает высшая субстанциональная творческая и охранительная сила, что созвучно православно-христианским представлениям о Боге. Сближение Корана и Библии – характерная особенность пушкинских “Подражаниях Корану”.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Даже наи</w:t>
      </w:r>
      <w:r>
        <w:rPr>
          <w:sz w:val="21"/>
          <w:szCs w:val="21"/>
        </w:rPr>
        <w:t>более “ориентальное” стихотворение цикла – второе “Подражание Корану”, где представлен микромир мусульманина – его дом, воспринимается как общечеловеческая нравственная заповедь. Но идеал супружеской любви воплощен в образе жен – их по восточному обычаю не</w:t>
      </w:r>
      <w:r>
        <w:rPr>
          <w:sz w:val="21"/>
          <w:szCs w:val="21"/>
        </w:rPr>
        <w:t xml:space="preserve">сколько. Гарем изображался Пушкиным не однажды: поэтически, со всею роскошью красок ориентализма романтиков в “Бахчисарайском фонтане” (1823 г.), и позднее – прозаически, с легкой иронией разочарованного любопытства, в “Путешествии в Арзрум” (1835 г.).  В </w:t>
      </w:r>
      <w:r>
        <w:rPr>
          <w:sz w:val="21"/>
          <w:szCs w:val="21"/>
        </w:rPr>
        <w:t xml:space="preserve">“Подражании Корану” ничто не напоминает о темпераментных гуриях Востока. “Страшна для вас и тень порока” – обращается Аллах к “чистым жёнам” своего пророка. Пушкин обходит стороной элемент экзотической эротики: в суре, послужившей источником “Подражанию”, </w:t>
      </w:r>
      <w:r>
        <w:rPr>
          <w:sz w:val="21"/>
          <w:szCs w:val="21"/>
        </w:rPr>
        <w:t xml:space="preserve">есть указание на то, что пророку разрешено вступать в брак с любой из понравившихся женщин, и что жен </w:t>
      </w:r>
      <w:r>
        <w:rPr>
          <w:sz w:val="21"/>
          <w:szCs w:val="21"/>
        </w:rPr>
        <w:lastRenderedPageBreak/>
        <w:t>у него больше, чем у обычных смертных. Характеристика спутниц Магомета выдержана в высоком эмоционально-психологическом ключе.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Вечные идеалы добра не имею</w:t>
      </w:r>
      <w:r>
        <w:rPr>
          <w:sz w:val="21"/>
          <w:szCs w:val="21"/>
        </w:rPr>
        <w:t>т национальной принадлежности, а потому трактуются Пушкиным в общечеловеческом плане. “Милостыня” – такое “не кораническое” заглавие Пушкин дал в черновиках восьмому “Подражанию Корану”. В этой проповеди щедрой милостыни нетрадиционно трактуется само значе</w:t>
      </w:r>
      <w:r>
        <w:rPr>
          <w:sz w:val="21"/>
          <w:szCs w:val="21"/>
        </w:rPr>
        <w:t xml:space="preserve">ние подаяния – как бы с позиции того, кто завещал ее во спасение души. Помогай лишь от чистого сердца: “Не сыпь своих даров расчетливой рукою” – будь в милосердии подобен Господу, одарившему тебя всем, что ты имеешь и тогда: “В день грозного суда, подобно </w:t>
      </w:r>
      <w:r>
        <w:rPr>
          <w:sz w:val="21"/>
          <w:szCs w:val="21"/>
        </w:rPr>
        <w:t>ниве тучной” твоя милостыня “сторицею воздаст твоим трудам”. Этот мотив, как указывает Н. Свирин, “находится в точном соответствии с 263 и 266 стихами II суры Корана”. “Но, – продолжает исследователь, – в других сурах встречаются прямо противоположные наст</w:t>
      </w:r>
      <w:r>
        <w:rPr>
          <w:sz w:val="21"/>
          <w:szCs w:val="21"/>
        </w:rPr>
        <w:t>авления, осуждающие слишком щедрую благотворительность как мотовство, угодное лишь дьяволу” [Свирин Н.Г., 1936, с. 228.]. “Пушкин, однако, предпочел взять за основу VIII подражания те места Корана, которые трактуют этот вопрос в духе Евангелия” [Свирин Н.Г</w:t>
      </w:r>
      <w:r>
        <w:rPr>
          <w:sz w:val="21"/>
          <w:szCs w:val="21"/>
        </w:rPr>
        <w:t>., 1936, с. 230].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Показательна близость идеи этого стихотворения библейскому афоризму “Не оскудеет рука дающего”. Щедрый в этом подражании сравнивается с “сеятелем благополучным”, метафора восходит к Евангельским притчам о сеятеле и о пшенице и о плевелах.</w:t>
      </w:r>
      <w:r>
        <w:rPr>
          <w:sz w:val="21"/>
          <w:szCs w:val="21"/>
        </w:rPr>
        <w:t xml:space="preserve"> Осваивая христианскую символику жатвы, Пушкин выявляет скрытую в образности сева идею созидания “на жизненных браздах”. В “Подражании” создается обличительный образ скупого дающего, пожалевшего “трудов земных стяжанья” – то есть то, что он имеет по божьей</w:t>
      </w:r>
      <w:r>
        <w:rPr>
          <w:sz w:val="21"/>
          <w:szCs w:val="21"/>
        </w:rPr>
        <w:t xml:space="preserve"> милости. Возникают ассоциации с библейским: “Скорее верблюд пройдет в угольное ушко, чем богатый в Царство Божие”.Страстная, исполненная силы горячего убеждения проповедь щедрой милостыни утверждает высокий идеал великодушия.</w:t>
      </w:r>
    </w:p>
    <w:p w:rsidR="00000000" w:rsidRDefault="00BF5065">
      <w:pPr>
        <w:jc w:val="left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sz w:val="21"/>
          <w:szCs w:val="21"/>
        </w:rPr>
        <w:t>Подражания Корану”  – итог п</w:t>
      </w:r>
      <w:r>
        <w:rPr>
          <w:sz w:val="21"/>
          <w:szCs w:val="21"/>
        </w:rPr>
        <w:t>остижения вечных, незыблемых законов, управляющих всем ходом вещей. Поиски Пушкиным нравственных истин определили отбор материала, принцип обработки текста источников. Каждое стихотворение цикла как нравственная заповедь имеет своим истоком священные книги</w:t>
      </w:r>
      <w:r>
        <w:rPr>
          <w:sz w:val="21"/>
          <w:szCs w:val="21"/>
        </w:rPr>
        <w:t xml:space="preserve"> – Коран и отчасти Библию, как итог общечеловеческого опыта. В сопряжении микромиров отдельных “Подражаний” открывается космос извечной мудрости. Проблема человека и его места в мировом порядке как устроенном целом – центральный вопрос, ответ на который Пу</w:t>
      </w:r>
      <w:r>
        <w:rPr>
          <w:sz w:val="21"/>
          <w:szCs w:val="21"/>
        </w:rPr>
        <w:t>шкин ищет и находит, в том числе, обращаясь к древним религиозным книгам. Н.И.Черняев в работе 1898 года «“Пророк” Пушкина в связи с его же “Подражаниями Корану”» одним из первых увидел в ориентальном цикле поэта эволюцию от навеянного французскими материа</w:t>
      </w:r>
      <w:r>
        <w:rPr>
          <w:sz w:val="21"/>
          <w:szCs w:val="21"/>
        </w:rPr>
        <w:t>листами атеизма к глубокому религиозному чувству: “Коран, – по мнению исследователя, – дал первый толчок к религиозному возрождению Пушкина и имел поэтому громадное значение в его внутренней жизни” [Черняев Н.И., 1898, с. 395]. Преодолев “дух отрицанья, ду</w:t>
      </w:r>
      <w:r>
        <w:rPr>
          <w:sz w:val="21"/>
          <w:szCs w:val="21"/>
        </w:rPr>
        <w:t xml:space="preserve">х сомненья”, Пушкин воспринял религию как “вечный источник поэзии у всех народов”. </w:t>
      </w:r>
    </w:p>
    <w:p w:rsidR="00000000" w:rsidRDefault="00BF5065">
      <w:pPr>
        <w:jc w:val="left"/>
        <w:rPr>
          <w:sz w:val="21"/>
          <w:szCs w:val="21"/>
        </w:rPr>
      </w:pPr>
    </w:p>
    <w:p w:rsidR="000278EC" w:rsidRDefault="000278EC" w:rsidP="000278EC">
      <w:pPr>
        <w:pStyle w:val="ac"/>
        <w:spacing w:after="0"/>
      </w:pPr>
      <w:r>
        <w:rPr>
          <w:sz w:val="20"/>
          <w:szCs w:val="20"/>
        </w:rPr>
        <w:t xml:space="preserve">ЛИТЕРАТУРА </w:t>
      </w:r>
    </w:p>
    <w:p w:rsidR="000278EC" w:rsidRDefault="000278EC" w:rsidP="000278EC">
      <w:pPr>
        <w:pStyle w:val="ac"/>
        <w:spacing w:after="0"/>
      </w:pPr>
      <w:r>
        <w:rPr>
          <w:sz w:val="20"/>
          <w:szCs w:val="20"/>
        </w:rPr>
        <w:t>Свирин Н.Г. “Подражания Корану” Пушкина. // Звезда.– 1936.– № 8. Гуковский Г.А. Пушкин и русские романтики.– Саратов, 1946. Фридман Н.В. Образ поэта-пророка в лирике Пушкина. // Ученые записки МГУ, вып. 118. – М., 1946. Соловей Н.Я. Особенности использования мотивов Корана в “Подражаниях Корану” Пушкина // Пушкин в странах зарубежного Востока. – М., 1979. Шварцбанд С. О первом примечании к “Подражаниям Корану” // Коран и Библия в творчестве Пушкина. Иерусалим. 2000. Черняев Н.И. “Пророк” Пушкина в связи с его же “Подражаниями Корану” // Русское обозрение.– 1898.</w:t>
      </w:r>
    </w:p>
    <w:p w:rsidR="00BF5065" w:rsidRDefault="00BF5065">
      <w:pPr>
        <w:jc w:val="left"/>
      </w:pPr>
      <w:r>
        <w:rPr>
          <w:sz w:val="21"/>
          <w:szCs w:val="21"/>
        </w:rPr>
        <w:t xml:space="preserve">Свирин Н.Г. “Подражания Корану” Пушкина. // Звезда.– 1936.– № 8. Гуковский Г.А. Пушкин и русские романтики.– Саратов, 1946.  Фридман Н.В. Образ поэта-пророка </w:t>
      </w:r>
      <w:r>
        <w:rPr>
          <w:sz w:val="21"/>
          <w:szCs w:val="21"/>
        </w:rPr>
        <w:t>в лирике Пушкина. // Ученые записки МГУ, вып. 118. – М., 1946. Соловей Н.Я. Особенности использования мотивов Корана в “Подражаниях Корану” Пушкина // Пушкин в странах зарубежного Востока. – М., 1979. Шварцбанд С. О первом примечании к “Подражаниям Корану”</w:t>
      </w:r>
      <w:r>
        <w:rPr>
          <w:sz w:val="21"/>
          <w:szCs w:val="21"/>
        </w:rPr>
        <w:t xml:space="preserve"> // Коран и Библия в творчестве Пушкина. Иерусалим. 2000. Черняев Н.И. “Пророк” Пушкина в связи с его же “Подражаниями Корану” // Русское обозрение.– 1898.</w:t>
      </w:r>
    </w:p>
    <w:sectPr w:rsidR="00BF5065">
      <w:pgSz w:w="11906" w:h="16838"/>
      <w:pgMar w:top="510" w:right="624" w:bottom="794" w:left="5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EC"/>
    <w:rsid w:val="000278EC"/>
    <w:rsid w:val="00B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02010DE4-4EDE-E248-8988-B9ED3DAB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PL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4">
    <w:name w:val="page number"/>
    <w:rPr>
      <w:rFonts w:ascii="Times New Roman" w:hAnsi="Times New Roman" w:cs="Times New Roman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line="360" w:lineRule="auto"/>
    </w:pPr>
    <w:rPr>
      <w:sz w:val="28"/>
    </w:rPr>
  </w:style>
  <w:style w:type="paragraph" w:styleId="a8">
    <w:name w:val="List"/>
    <w:basedOn w:val="a7"/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</w:style>
  <w:style w:type="paragraph" w:styleId="aa">
    <w:name w:val="footer"/>
    <w:basedOn w:val="a"/>
    <w:pPr>
      <w:widowControl w:val="0"/>
      <w:tabs>
        <w:tab w:val="center" w:pos="4536"/>
        <w:tab w:val="right" w:pos="9072"/>
      </w:tabs>
    </w:pPr>
  </w:style>
  <w:style w:type="paragraph" w:styleId="ab">
    <w:name w:val="footnote text"/>
    <w:basedOn w:val="a"/>
  </w:style>
  <w:style w:type="paragraph" w:styleId="ac">
    <w:name w:val="Normal (Web)"/>
    <w:basedOn w:val="a"/>
    <w:uiPriority w:val="99"/>
    <w:semiHidden/>
    <w:unhideWhenUsed/>
    <w:rsid w:val="000278EC"/>
    <w:pPr>
      <w:suppressAutoHyphens w:val="0"/>
      <w:spacing w:before="100" w:beforeAutospacing="1" w:after="119"/>
      <w:jc w:val="left"/>
    </w:pPr>
    <w:rPr>
      <w:sz w:val="24"/>
      <w:szCs w:val="24"/>
      <w:lang w:val="ru-P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trumxp.pl/api/Images/GetOldImage?pathImage=/Img/art/Office2016/Word2016/Jak%20zrobi&#263;%20akapit/akapit_ustawieni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2362</Words>
  <Characters>13466</Characters>
  <Application>Microsoft Office Word</Application>
  <DocSecurity>0</DocSecurity>
  <Lines>112</Lines>
  <Paragraphs>31</Paragraphs>
  <ScaleCrop>false</ScaleCrop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subject/>
  <dc:creator>Литневский Павел Артурович</dc:creator>
  <cp:keywords/>
  <cp:lastModifiedBy>Aleksandra Klimkiewicz</cp:lastModifiedBy>
  <cp:revision>2</cp:revision>
  <cp:lastPrinted>1601-01-01T00:00:00Z</cp:lastPrinted>
  <dcterms:created xsi:type="dcterms:W3CDTF">2020-12-18T12:44:00Z</dcterms:created>
  <dcterms:modified xsi:type="dcterms:W3CDTF">2020-12-18T12:44:00Z</dcterms:modified>
</cp:coreProperties>
</file>